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BD9BC" w14:textId="77777777" w:rsidR="009A7ABE" w:rsidRDefault="00AC1C33" w:rsidP="001C3625">
      <w:pPr>
        <w:pStyle w:val="BodyText"/>
        <w:kinsoku w:val="0"/>
        <w:overflowPunct w:val="0"/>
        <w:spacing w:before="79" w:line="470" w:lineRule="exact"/>
        <w:jc w:val="both"/>
        <w:rPr>
          <w:rFonts w:ascii="Rockwell Condensed" w:hAnsi="Rockwell Condensed" w:cs="Rockwell Condensed"/>
          <w:color w:val="851C00"/>
          <w:sz w:val="40"/>
          <w:szCs w:val="40"/>
        </w:rPr>
      </w:pPr>
      <w:bookmarkStart w:id="0" w:name="Research_Support_Award"/>
      <w:bookmarkEnd w:id="0"/>
      <w:r>
        <w:rPr>
          <w:rFonts w:ascii="Rockwell Condensed" w:hAnsi="Rockwell Condensed" w:cs="Rockwell Condensed"/>
          <w:color w:val="851C00"/>
          <w:sz w:val="40"/>
          <w:szCs w:val="40"/>
        </w:rPr>
        <w:t>Research Support Award</w:t>
      </w:r>
    </w:p>
    <w:p w14:paraId="08EFDE78" w14:textId="58C80067" w:rsidR="00640891" w:rsidRPr="00A51997" w:rsidRDefault="00640891" w:rsidP="00640891">
      <w:pPr>
        <w:pStyle w:val="BodyText"/>
        <w:kinsoku w:val="0"/>
        <w:overflowPunct w:val="0"/>
        <w:spacing w:before="100" w:line="273" w:lineRule="auto"/>
        <w:ind w:right="586"/>
        <w:rPr>
          <w:color w:val="3B3838" w:themeColor="background2" w:themeShade="40"/>
        </w:rPr>
      </w:pPr>
      <w:bookmarkStart w:id="1" w:name="Office_of_the_Vice_President_for_Researc"/>
      <w:bookmarkEnd w:id="1"/>
      <w:r w:rsidRPr="00A51997">
        <w:rPr>
          <w:color w:val="3B3838" w:themeColor="background2" w:themeShade="40"/>
        </w:rPr>
        <w:t xml:space="preserve">Nomination Deadline: </w:t>
      </w:r>
      <w:r w:rsidRPr="00A51997">
        <w:rPr>
          <w:b/>
          <w:bCs/>
          <w:color w:val="3B3838" w:themeColor="background2" w:themeShade="40"/>
        </w:rPr>
        <w:t xml:space="preserve">Friday, </w:t>
      </w:r>
      <w:r w:rsidR="002259A9">
        <w:rPr>
          <w:b/>
          <w:bCs/>
          <w:color w:val="3B3838" w:themeColor="background2" w:themeShade="40"/>
        </w:rPr>
        <w:t>April 24</w:t>
      </w:r>
      <w:r w:rsidRPr="00A51997">
        <w:rPr>
          <w:b/>
          <w:bCs/>
          <w:color w:val="3B3838" w:themeColor="background2" w:themeShade="40"/>
        </w:rPr>
        <w:t>, 202</w:t>
      </w:r>
      <w:r w:rsidR="002259A9">
        <w:rPr>
          <w:b/>
          <w:bCs/>
          <w:color w:val="3B3838" w:themeColor="background2" w:themeShade="40"/>
        </w:rPr>
        <w:t>6</w:t>
      </w:r>
      <w:r w:rsidRPr="00A51997">
        <w:rPr>
          <w:b/>
          <w:bCs/>
          <w:color w:val="3B3838" w:themeColor="background2" w:themeShade="40"/>
        </w:rPr>
        <w:t>, at 5pm.</w:t>
      </w:r>
    </w:p>
    <w:p w14:paraId="753649FA" w14:textId="481824E0" w:rsidR="00640891" w:rsidRDefault="00640891" w:rsidP="00640891">
      <w:pPr>
        <w:tabs>
          <w:tab w:val="left" w:pos="821"/>
        </w:tabs>
        <w:kinsoku w:val="0"/>
        <w:overflowPunct w:val="0"/>
        <w:rPr>
          <w:color w:val="3B3838" w:themeColor="background2" w:themeShade="40"/>
        </w:rPr>
      </w:pPr>
      <w:bookmarkStart w:id="2" w:name="2022_Emerging_Research_Scholar_Award"/>
      <w:bookmarkEnd w:id="2"/>
      <w:r>
        <w:rPr>
          <w:color w:val="3B3838" w:themeColor="background2" w:themeShade="40"/>
        </w:rPr>
        <w:t xml:space="preserve">Submit nominations here: </w:t>
      </w:r>
      <w:hyperlink r:id="rId5" w:history="1">
        <w:r w:rsidR="002259A9">
          <w:rPr>
            <w:rStyle w:val="Hyperlink"/>
          </w:rPr>
          <w:t>2026</w:t>
        </w:r>
        <w:r w:rsidRPr="006232A0">
          <w:rPr>
            <w:rStyle w:val="Hyperlink"/>
          </w:rPr>
          <w:t xml:space="preserve"> Research Award Nomination</w:t>
        </w:r>
      </w:hyperlink>
    </w:p>
    <w:p w14:paraId="133EE69B" w14:textId="77777777" w:rsidR="009A7ABE" w:rsidRPr="00B8098F" w:rsidRDefault="00AC1C33" w:rsidP="00585E78">
      <w:pPr>
        <w:pStyle w:val="BodyText"/>
        <w:spacing w:before="120"/>
        <w:jc w:val="both"/>
        <w:rPr>
          <w:color w:val="3B3838" w:themeColor="background2" w:themeShade="40"/>
        </w:rPr>
      </w:pPr>
      <w:r w:rsidRPr="00B8098F">
        <w:rPr>
          <w:color w:val="3B3838" w:themeColor="background2" w:themeShade="40"/>
        </w:rPr>
        <w:t>The Research Support Award honors those who have made valuable contributions in support of research and who have gone above and beyond their day-to-day responsibilities. The award recipient will receive an honorarium of $500 and a commemorative plaque.</w:t>
      </w:r>
    </w:p>
    <w:p w14:paraId="6F2182E6" w14:textId="77777777" w:rsidR="009A7ABE" w:rsidRPr="00B8098F" w:rsidRDefault="00AC1C33" w:rsidP="00585E78">
      <w:pPr>
        <w:pStyle w:val="Heading2"/>
        <w:kinsoku w:val="0"/>
        <w:overflowPunct w:val="0"/>
        <w:spacing w:before="209" w:line="269" w:lineRule="exact"/>
        <w:ind w:left="0"/>
        <w:jc w:val="both"/>
        <w:rPr>
          <w:color w:val="3B3838" w:themeColor="background2" w:themeShade="40"/>
        </w:rPr>
      </w:pPr>
      <w:bookmarkStart w:id="3" w:name="Award_Criteria:"/>
      <w:bookmarkEnd w:id="3"/>
      <w:r w:rsidRPr="00B8098F">
        <w:rPr>
          <w:color w:val="3B3838" w:themeColor="background2" w:themeShade="40"/>
        </w:rPr>
        <w:t>Award Criteria:</w:t>
      </w:r>
    </w:p>
    <w:p w14:paraId="039A6E62" w14:textId="6B3730F5" w:rsidR="009A7ABE" w:rsidRPr="00B8098F" w:rsidRDefault="00AC1C33" w:rsidP="00E47E7A">
      <w:pPr>
        <w:pStyle w:val="BodyText"/>
        <w:jc w:val="both"/>
        <w:rPr>
          <w:color w:val="3B3838" w:themeColor="background2" w:themeShade="40"/>
        </w:rPr>
      </w:pPr>
      <w:r w:rsidRPr="00B8098F">
        <w:rPr>
          <w:color w:val="3B3838" w:themeColor="background2" w:themeShade="40"/>
        </w:rPr>
        <w:t xml:space="preserve">To be eligible for the Research </w:t>
      </w:r>
      <w:r w:rsidR="0018160C" w:rsidRPr="00B8098F">
        <w:rPr>
          <w:color w:val="3B3838" w:themeColor="background2" w:themeShade="40"/>
        </w:rPr>
        <w:t>Support</w:t>
      </w:r>
      <w:r w:rsidRPr="00B8098F">
        <w:rPr>
          <w:color w:val="3B3838" w:themeColor="background2" w:themeShade="40"/>
        </w:rPr>
        <w:t xml:space="preserve"> Award, candidates</w:t>
      </w:r>
      <w:r w:rsidR="00CD5D6E" w:rsidRPr="00B8098F">
        <w:rPr>
          <w:color w:val="3B3838" w:themeColor="background2" w:themeShade="40"/>
        </w:rPr>
        <w:t>, at the time of nomination,</w:t>
      </w:r>
      <w:r w:rsidRPr="00B8098F">
        <w:rPr>
          <w:color w:val="3B3838" w:themeColor="background2" w:themeShade="40"/>
        </w:rPr>
        <w:t xml:space="preserve"> must be employed at least</w:t>
      </w:r>
      <w:r w:rsidR="00E47E7A" w:rsidRPr="00B8098F">
        <w:rPr>
          <w:color w:val="3B3838" w:themeColor="background2" w:themeShade="40"/>
        </w:rPr>
        <w:t xml:space="preserve"> </w:t>
      </w:r>
      <w:r w:rsidRPr="00B8098F">
        <w:rPr>
          <w:color w:val="3B3838" w:themeColor="background2" w:themeShade="40"/>
        </w:rPr>
        <w:t xml:space="preserve">FTE in non-faculty positions and must have at least three years </w:t>
      </w:r>
      <w:r w:rsidR="00927234" w:rsidRPr="00B8098F">
        <w:rPr>
          <w:color w:val="3B3838" w:themeColor="background2" w:themeShade="40"/>
        </w:rPr>
        <w:t xml:space="preserve">of consecutive service </w:t>
      </w:r>
      <w:r w:rsidRPr="00B8098F">
        <w:rPr>
          <w:color w:val="3B3838" w:themeColor="background2" w:themeShade="40"/>
        </w:rPr>
        <w:t>in a research support capacity at Mississippi State University. Faculty, research assistants or other personnel who are major contributors to the conduct of research are not eligible for this award.</w:t>
      </w:r>
      <w:r w:rsidR="002C346C" w:rsidRPr="00B8098F">
        <w:rPr>
          <w:color w:val="3B3838" w:themeColor="background2" w:themeShade="40"/>
        </w:rPr>
        <w:t xml:space="preserve"> Nominees must not have been found guilty or have any pending administrative, disciplinary, or criminal charge against them.</w:t>
      </w:r>
    </w:p>
    <w:p w14:paraId="6FAB6364" w14:textId="77777777" w:rsidR="00B41A89" w:rsidRPr="00B8098F" w:rsidRDefault="00B41A89" w:rsidP="00E47E7A">
      <w:pPr>
        <w:pStyle w:val="BodyText"/>
        <w:jc w:val="both"/>
        <w:rPr>
          <w:color w:val="3B3838" w:themeColor="background2" w:themeShade="40"/>
        </w:rPr>
      </w:pPr>
    </w:p>
    <w:p w14:paraId="568951BC" w14:textId="66F24818" w:rsidR="009A7ABE" w:rsidRPr="00B8098F" w:rsidRDefault="00AC1C33" w:rsidP="00E47E7A">
      <w:pPr>
        <w:pStyle w:val="BodyText"/>
        <w:jc w:val="both"/>
        <w:rPr>
          <w:color w:val="3B3838" w:themeColor="background2" w:themeShade="40"/>
        </w:rPr>
      </w:pPr>
      <w:r w:rsidRPr="00B8098F">
        <w:rPr>
          <w:color w:val="3B3838" w:themeColor="background2" w:themeShade="40"/>
        </w:rPr>
        <w:t>Example</w:t>
      </w:r>
      <w:r w:rsidR="00927234" w:rsidRPr="00B8098F">
        <w:rPr>
          <w:color w:val="3B3838" w:themeColor="background2" w:themeShade="40"/>
        </w:rPr>
        <w:t>s</w:t>
      </w:r>
      <w:r w:rsidRPr="00B8098F">
        <w:rPr>
          <w:color w:val="3B3838" w:themeColor="background2" w:themeShade="40"/>
        </w:rPr>
        <w:t xml:space="preserve"> responsibilities of research </w:t>
      </w:r>
      <w:r w:rsidR="00927234" w:rsidRPr="00B8098F">
        <w:rPr>
          <w:color w:val="3B3838" w:themeColor="background2" w:themeShade="40"/>
        </w:rPr>
        <w:t>support</w:t>
      </w:r>
      <w:r w:rsidRPr="00B8098F">
        <w:rPr>
          <w:color w:val="3B3838" w:themeColor="background2" w:themeShade="40"/>
        </w:rPr>
        <w:t xml:space="preserve"> include but are not limited to:</w:t>
      </w:r>
    </w:p>
    <w:p w14:paraId="6D11729C" w14:textId="3C6C6D31" w:rsidR="009A7ABE" w:rsidRPr="00B8098F" w:rsidRDefault="00AC1C33" w:rsidP="00E47E7A">
      <w:pPr>
        <w:pStyle w:val="BodyText"/>
        <w:numPr>
          <w:ilvl w:val="0"/>
          <w:numId w:val="4"/>
        </w:numPr>
        <w:ind w:left="450" w:hanging="270"/>
        <w:jc w:val="both"/>
        <w:rPr>
          <w:color w:val="3B3838" w:themeColor="background2" w:themeShade="40"/>
        </w:rPr>
      </w:pPr>
      <w:r w:rsidRPr="00B8098F">
        <w:rPr>
          <w:color w:val="3B3838" w:themeColor="background2" w:themeShade="40"/>
        </w:rPr>
        <w:t>Identifying research funding opportunities</w:t>
      </w:r>
      <w:r w:rsidR="00DA1B73" w:rsidRPr="00B8098F">
        <w:rPr>
          <w:color w:val="3B3838" w:themeColor="background2" w:themeShade="40"/>
        </w:rPr>
        <w:t>,</w:t>
      </w:r>
    </w:p>
    <w:p w14:paraId="5166B84B" w14:textId="1E9DAE60" w:rsidR="009A7ABE" w:rsidRPr="00B8098F" w:rsidRDefault="00AC1C33" w:rsidP="00E47E7A">
      <w:pPr>
        <w:pStyle w:val="BodyText"/>
        <w:numPr>
          <w:ilvl w:val="0"/>
          <w:numId w:val="4"/>
        </w:numPr>
        <w:ind w:left="450" w:hanging="270"/>
        <w:jc w:val="both"/>
        <w:rPr>
          <w:color w:val="3B3838" w:themeColor="background2" w:themeShade="40"/>
        </w:rPr>
      </w:pPr>
      <w:r w:rsidRPr="00B8098F">
        <w:rPr>
          <w:color w:val="3B3838" w:themeColor="background2" w:themeShade="40"/>
        </w:rPr>
        <w:t>Participating in proposal development, internal review processes, and submission to a funding agency</w:t>
      </w:r>
      <w:r w:rsidR="00DA1B73" w:rsidRPr="00B8098F">
        <w:rPr>
          <w:color w:val="3B3838" w:themeColor="background2" w:themeShade="40"/>
        </w:rPr>
        <w:t>,</w:t>
      </w:r>
    </w:p>
    <w:p w14:paraId="6CB8E531" w14:textId="1E8E0DD6" w:rsidR="009A7ABE" w:rsidRPr="00B8098F" w:rsidRDefault="00AC1C33" w:rsidP="00E47E7A">
      <w:pPr>
        <w:pStyle w:val="BodyText"/>
        <w:numPr>
          <w:ilvl w:val="0"/>
          <w:numId w:val="4"/>
        </w:numPr>
        <w:ind w:left="450" w:hanging="270"/>
        <w:jc w:val="both"/>
        <w:rPr>
          <w:color w:val="3B3838" w:themeColor="background2" w:themeShade="40"/>
        </w:rPr>
      </w:pPr>
      <w:r w:rsidRPr="00B8098F">
        <w:rPr>
          <w:color w:val="3B3838" w:themeColor="background2" w:themeShade="40"/>
        </w:rPr>
        <w:t>Negotiating terms and conditions of awards and participating in the administration of an award</w:t>
      </w:r>
      <w:r w:rsidR="00DA1B73" w:rsidRPr="00B8098F">
        <w:rPr>
          <w:color w:val="3B3838" w:themeColor="background2" w:themeShade="40"/>
        </w:rPr>
        <w:t>,</w:t>
      </w:r>
    </w:p>
    <w:p w14:paraId="0C3D81BD" w14:textId="612419C8" w:rsidR="009A7ABE" w:rsidRPr="00B8098F" w:rsidRDefault="00AC1C33" w:rsidP="00E47E7A">
      <w:pPr>
        <w:pStyle w:val="BodyText"/>
        <w:numPr>
          <w:ilvl w:val="0"/>
          <w:numId w:val="4"/>
        </w:numPr>
        <w:ind w:left="450" w:hanging="270"/>
        <w:jc w:val="both"/>
        <w:rPr>
          <w:color w:val="3B3838" w:themeColor="background2" w:themeShade="40"/>
        </w:rPr>
      </w:pPr>
      <w:r w:rsidRPr="00B8098F">
        <w:rPr>
          <w:color w:val="3B3838" w:themeColor="background2" w:themeShade="40"/>
        </w:rPr>
        <w:t>Assisting with contract notifications, extension, progress reports, or effort certification</w:t>
      </w:r>
      <w:r w:rsidR="00DA1B73" w:rsidRPr="00B8098F">
        <w:rPr>
          <w:color w:val="3B3838" w:themeColor="background2" w:themeShade="40"/>
        </w:rPr>
        <w:t>,</w:t>
      </w:r>
    </w:p>
    <w:p w14:paraId="2EA6E9BB" w14:textId="3118946C" w:rsidR="009A7ABE" w:rsidRPr="00B8098F" w:rsidRDefault="00AC1C33" w:rsidP="00E47E7A">
      <w:pPr>
        <w:pStyle w:val="BodyText"/>
        <w:numPr>
          <w:ilvl w:val="0"/>
          <w:numId w:val="4"/>
        </w:numPr>
        <w:ind w:left="450" w:hanging="270"/>
        <w:jc w:val="both"/>
        <w:rPr>
          <w:color w:val="3B3838" w:themeColor="background2" w:themeShade="40"/>
        </w:rPr>
      </w:pPr>
      <w:r w:rsidRPr="00B8098F">
        <w:rPr>
          <w:color w:val="3B3838" w:themeColor="background2" w:themeShade="40"/>
        </w:rPr>
        <w:t>Participating in the administration of a research account, centrally or departmentally, from account set-up to account management to close-out</w:t>
      </w:r>
      <w:r w:rsidR="00DA1B73" w:rsidRPr="00B8098F">
        <w:rPr>
          <w:color w:val="3B3838" w:themeColor="background2" w:themeShade="40"/>
        </w:rPr>
        <w:t>,</w:t>
      </w:r>
    </w:p>
    <w:p w14:paraId="54617C01" w14:textId="1AC25D20" w:rsidR="009A7ABE" w:rsidRPr="00B8098F" w:rsidRDefault="00AC1C33" w:rsidP="00E47E7A">
      <w:pPr>
        <w:pStyle w:val="BodyText"/>
        <w:numPr>
          <w:ilvl w:val="0"/>
          <w:numId w:val="4"/>
        </w:numPr>
        <w:ind w:left="450" w:hanging="270"/>
        <w:jc w:val="both"/>
        <w:rPr>
          <w:color w:val="3B3838" w:themeColor="background2" w:themeShade="40"/>
        </w:rPr>
      </w:pPr>
      <w:r w:rsidRPr="00B8098F">
        <w:rPr>
          <w:color w:val="3B3838" w:themeColor="background2" w:themeShade="40"/>
        </w:rPr>
        <w:t>Providing support in the form of compliance review for export controls animal use, human subject research, biosafety matters, etc.</w:t>
      </w:r>
      <w:r w:rsidR="00DA1B73" w:rsidRPr="00B8098F">
        <w:rPr>
          <w:color w:val="3B3838" w:themeColor="background2" w:themeShade="40"/>
        </w:rPr>
        <w:t>,</w:t>
      </w:r>
    </w:p>
    <w:p w14:paraId="3ADF20BC" w14:textId="13D28660" w:rsidR="009A7ABE" w:rsidRPr="00B8098F" w:rsidRDefault="00AC1C33" w:rsidP="00E47E7A">
      <w:pPr>
        <w:pStyle w:val="BodyText"/>
        <w:numPr>
          <w:ilvl w:val="0"/>
          <w:numId w:val="4"/>
        </w:numPr>
        <w:ind w:left="450" w:hanging="270"/>
        <w:jc w:val="both"/>
        <w:rPr>
          <w:color w:val="3B3838" w:themeColor="background2" w:themeShade="40"/>
        </w:rPr>
      </w:pPr>
      <w:r w:rsidRPr="00B8098F">
        <w:rPr>
          <w:color w:val="3B3838" w:themeColor="background2" w:themeShade="40"/>
        </w:rPr>
        <w:t>Managing invention disclosures and intellectual property generated by sponsored research</w:t>
      </w:r>
      <w:r w:rsidR="00DA1B73" w:rsidRPr="00B8098F">
        <w:rPr>
          <w:color w:val="3B3838" w:themeColor="background2" w:themeShade="40"/>
        </w:rPr>
        <w:t>.</w:t>
      </w:r>
    </w:p>
    <w:p w14:paraId="37A064F9" w14:textId="77777777" w:rsidR="00B41A89" w:rsidRPr="00B8098F" w:rsidRDefault="00B41A89" w:rsidP="00E47E7A">
      <w:pPr>
        <w:pStyle w:val="BodyText"/>
        <w:jc w:val="both"/>
        <w:rPr>
          <w:color w:val="3B3838" w:themeColor="background2" w:themeShade="40"/>
        </w:rPr>
      </w:pPr>
    </w:p>
    <w:p w14:paraId="1CF79521" w14:textId="4CE37AF6" w:rsidR="009A7ABE" w:rsidRPr="00B8098F" w:rsidRDefault="00AC1C33" w:rsidP="00E47E7A">
      <w:pPr>
        <w:pStyle w:val="BodyText"/>
        <w:jc w:val="both"/>
        <w:rPr>
          <w:color w:val="3B3838" w:themeColor="background2" w:themeShade="40"/>
        </w:rPr>
      </w:pPr>
      <w:r w:rsidRPr="00B8098F">
        <w:rPr>
          <w:color w:val="3B3838" w:themeColor="background2" w:themeShade="40"/>
        </w:rPr>
        <w:t xml:space="preserve">The recipient of the Research </w:t>
      </w:r>
      <w:r w:rsidR="00927234" w:rsidRPr="00B8098F">
        <w:rPr>
          <w:color w:val="3B3838" w:themeColor="background2" w:themeShade="40"/>
        </w:rPr>
        <w:t>Support</w:t>
      </w:r>
      <w:r w:rsidRPr="00B8098F">
        <w:rPr>
          <w:color w:val="3B3838" w:themeColor="background2" w:themeShade="40"/>
        </w:rPr>
        <w:t xml:space="preserve"> Award is selected based on the following review criteria:</w:t>
      </w:r>
    </w:p>
    <w:p w14:paraId="6120DBBE" w14:textId="735B77E7" w:rsidR="009A7ABE" w:rsidRPr="00B8098F" w:rsidRDefault="00AC1C33" w:rsidP="00E47E7A">
      <w:pPr>
        <w:pStyle w:val="BodyText"/>
        <w:numPr>
          <w:ilvl w:val="0"/>
          <w:numId w:val="5"/>
        </w:numPr>
        <w:ind w:left="450" w:hanging="270"/>
        <w:jc w:val="both"/>
        <w:rPr>
          <w:color w:val="3B3838" w:themeColor="background2" w:themeShade="40"/>
        </w:rPr>
      </w:pPr>
      <w:r w:rsidRPr="00B8098F">
        <w:rPr>
          <w:color w:val="3B3838" w:themeColor="background2" w:themeShade="40"/>
        </w:rPr>
        <w:t xml:space="preserve">Evidence of nominee’s contributions to research </w:t>
      </w:r>
      <w:r w:rsidR="00927234" w:rsidRPr="00B8098F">
        <w:rPr>
          <w:color w:val="3B3838" w:themeColor="background2" w:themeShade="40"/>
        </w:rPr>
        <w:t>support</w:t>
      </w:r>
      <w:r w:rsidRPr="00B8098F">
        <w:rPr>
          <w:color w:val="3B3838" w:themeColor="background2" w:themeShade="40"/>
        </w:rPr>
        <w:t xml:space="preserve"> </w:t>
      </w:r>
      <w:r w:rsidRPr="00B8098F">
        <w:rPr>
          <w:b/>
          <w:bCs/>
          <w:color w:val="3B3838" w:themeColor="background2" w:themeShade="40"/>
          <w:u w:val="single"/>
        </w:rPr>
        <w:t>beyond</w:t>
      </w:r>
      <w:r w:rsidRPr="00B8098F">
        <w:rPr>
          <w:color w:val="3B3838" w:themeColor="background2" w:themeShade="40"/>
        </w:rPr>
        <w:t xml:space="preserve"> performance of day-to-day responsibilities to advance and enhance research administration at Mississippi State University</w:t>
      </w:r>
      <w:r w:rsidR="00DA1B73" w:rsidRPr="00B8098F">
        <w:rPr>
          <w:color w:val="3B3838" w:themeColor="background2" w:themeShade="40"/>
        </w:rPr>
        <w:t>.</w:t>
      </w:r>
    </w:p>
    <w:p w14:paraId="449AF02C" w14:textId="233517F4" w:rsidR="009A7ABE" w:rsidRPr="00B8098F" w:rsidRDefault="00AC1C33" w:rsidP="00E47E7A">
      <w:pPr>
        <w:pStyle w:val="BodyText"/>
        <w:numPr>
          <w:ilvl w:val="0"/>
          <w:numId w:val="5"/>
        </w:numPr>
        <w:ind w:left="450" w:hanging="270"/>
        <w:jc w:val="both"/>
        <w:rPr>
          <w:color w:val="3B3838" w:themeColor="background2" w:themeShade="40"/>
        </w:rPr>
      </w:pPr>
      <w:r w:rsidRPr="00B8098F">
        <w:rPr>
          <w:color w:val="3B3838" w:themeColor="background2" w:themeShade="40"/>
        </w:rPr>
        <w:t xml:space="preserve">Proven knowledge in research </w:t>
      </w:r>
      <w:r w:rsidR="00EC27FC" w:rsidRPr="00B8098F">
        <w:rPr>
          <w:color w:val="3B3838" w:themeColor="background2" w:themeShade="40"/>
        </w:rPr>
        <w:t xml:space="preserve">support </w:t>
      </w:r>
      <w:r w:rsidRPr="00B8098F">
        <w:rPr>
          <w:color w:val="3B3838" w:themeColor="background2" w:themeShade="40"/>
        </w:rPr>
        <w:t>and commitment to remain informed of the latest updates and changes affecting job responsibilities</w:t>
      </w:r>
      <w:r w:rsidR="00227177" w:rsidRPr="00B8098F">
        <w:rPr>
          <w:color w:val="3B3838" w:themeColor="background2" w:themeShade="40"/>
        </w:rPr>
        <w:t>.</w:t>
      </w:r>
    </w:p>
    <w:p w14:paraId="06FCB442" w14:textId="30662DA8" w:rsidR="009A7ABE" w:rsidRPr="00B8098F" w:rsidRDefault="00AC1C33" w:rsidP="00E47E7A">
      <w:pPr>
        <w:pStyle w:val="BodyText"/>
        <w:numPr>
          <w:ilvl w:val="0"/>
          <w:numId w:val="5"/>
        </w:numPr>
        <w:ind w:left="450" w:hanging="270"/>
        <w:jc w:val="both"/>
        <w:rPr>
          <w:color w:val="3B3838" w:themeColor="background2" w:themeShade="40"/>
        </w:rPr>
      </w:pPr>
      <w:r w:rsidRPr="00B8098F">
        <w:rPr>
          <w:color w:val="3B3838" w:themeColor="background2" w:themeShade="40"/>
        </w:rPr>
        <w:t xml:space="preserve">Active participant in the research </w:t>
      </w:r>
      <w:r w:rsidR="00DB42FA" w:rsidRPr="00B8098F">
        <w:rPr>
          <w:color w:val="3B3838" w:themeColor="background2" w:themeShade="40"/>
        </w:rPr>
        <w:t>support/administration</w:t>
      </w:r>
      <w:r w:rsidRPr="00B8098F">
        <w:rPr>
          <w:color w:val="3B3838" w:themeColor="background2" w:themeShade="40"/>
        </w:rPr>
        <w:t xml:space="preserve"> community at Mississippi State University and professional organizations related to the field</w:t>
      </w:r>
      <w:r w:rsidR="00227177" w:rsidRPr="00B8098F">
        <w:rPr>
          <w:color w:val="3B3838" w:themeColor="background2" w:themeShade="40"/>
        </w:rPr>
        <w:t>.</w:t>
      </w:r>
    </w:p>
    <w:p w14:paraId="279C0D83" w14:textId="12A40203" w:rsidR="009A7ABE" w:rsidRPr="00B8098F" w:rsidRDefault="00AC1C33" w:rsidP="00E47E7A">
      <w:pPr>
        <w:pStyle w:val="BodyText"/>
        <w:numPr>
          <w:ilvl w:val="0"/>
          <w:numId w:val="5"/>
        </w:numPr>
        <w:ind w:left="450" w:hanging="270"/>
        <w:jc w:val="both"/>
        <w:rPr>
          <w:color w:val="3B3838" w:themeColor="background2" w:themeShade="40"/>
        </w:rPr>
      </w:pPr>
      <w:r w:rsidRPr="00B8098F">
        <w:rPr>
          <w:color w:val="3B3838" w:themeColor="background2" w:themeShade="40"/>
        </w:rPr>
        <w:t>Commitment to growth in the field exhibiting an enthusiastic approach to sustained improvement as a research</w:t>
      </w:r>
      <w:r w:rsidR="00164591" w:rsidRPr="00B8098F">
        <w:rPr>
          <w:color w:val="3B3838" w:themeColor="background2" w:themeShade="40"/>
        </w:rPr>
        <w:t xml:space="preserve"> support personnel.</w:t>
      </w:r>
    </w:p>
    <w:p w14:paraId="28BF23A6" w14:textId="77777777" w:rsidR="009A7ABE" w:rsidRPr="00B8098F" w:rsidRDefault="00AC1C33" w:rsidP="00585E78">
      <w:pPr>
        <w:pStyle w:val="Heading2"/>
        <w:kinsoku w:val="0"/>
        <w:overflowPunct w:val="0"/>
        <w:ind w:left="0"/>
        <w:rPr>
          <w:color w:val="3B3838" w:themeColor="background2" w:themeShade="40"/>
        </w:rPr>
      </w:pPr>
      <w:bookmarkStart w:id="4" w:name="Nomination_Material:"/>
      <w:bookmarkEnd w:id="4"/>
      <w:r w:rsidRPr="00B8098F">
        <w:rPr>
          <w:color w:val="3B3838" w:themeColor="background2" w:themeShade="40"/>
        </w:rPr>
        <w:t>Nomination Material:</w:t>
      </w:r>
    </w:p>
    <w:p w14:paraId="47C74E9A" w14:textId="1AF771B4" w:rsidR="009A7ABE" w:rsidRPr="00B8098F" w:rsidRDefault="00AC1C33" w:rsidP="00B41A89">
      <w:pPr>
        <w:pStyle w:val="BodyText"/>
        <w:numPr>
          <w:ilvl w:val="0"/>
          <w:numId w:val="6"/>
        </w:numPr>
        <w:ind w:left="450" w:hanging="270"/>
        <w:jc w:val="both"/>
        <w:rPr>
          <w:color w:val="3B3838" w:themeColor="background2" w:themeShade="40"/>
        </w:rPr>
      </w:pPr>
      <w:r w:rsidRPr="00B8098F">
        <w:rPr>
          <w:color w:val="3B3838" w:themeColor="background2" w:themeShade="40"/>
        </w:rPr>
        <w:t>Nomination form</w:t>
      </w:r>
      <w:r w:rsidR="00640891">
        <w:rPr>
          <w:color w:val="3B3838" w:themeColor="background2" w:themeShade="40"/>
        </w:rPr>
        <w:t xml:space="preserve"> (Qualtrics online form)</w:t>
      </w:r>
    </w:p>
    <w:p w14:paraId="7EC30453" w14:textId="019DD15E" w:rsidR="009A7ABE" w:rsidRPr="00B8098F" w:rsidRDefault="00AC1C33" w:rsidP="00B4053F">
      <w:pPr>
        <w:pStyle w:val="BodyText"/>
        <w:numPr>
          <w:ilvl w:val="0"/>
          <w:numId w:val="6"/>
        </w:numPr>
        <w:ind w:left="450" w:hanging="270"/>
        <w:jc w:val="both"/>
        <w:rPr>
          <w:color w:val="3B3838" w:themeColor="background2" w:themeShade="40"/>
        </w:rPr>
      </w:pPr>
      <w:r w:rsidRPr="00B8098F">
        <w:rPr>
          <w:color w:val="3B3838" w:themeColor="background2" w:themeShade="40"/>
        </w:rPr>
        <w:t xml:space="preserve">Letter of </w:t>
      </w:r>
      <w:r w:rsidR="00452C04" w:rsidRPr="00B8098F">
        <w:rPr>
          <w:color w:val="3B3838" w:themeColor="background2" w:themeShade="40"/>
        </w:rPr>
        <w:t xml:space="preserve">nomination </w:t>
      </w:r>
      <w:r w:rsidR="000B5131">
        <w:rPr>
          <w:color w:val="3B3838" w:themeColor="background2" w:themeShade="40"/>
        </w:rPr>
        <w:t>highlighting</w:t>
      </w:r>
      <w:r w:rsidRPr="00B8098F">
        <w:rPr>
          <w:color w:val="3B3838" w:themeColor="background2" w:themeShade="40"/>
        </w:rPr>
        <w:t xml:space="preserve"> the nominee’s</w:t>
      </w:r>
      <w:r w:rsidR="00B4053F" w:rsidRPr="00B8098F">
        <w:rPr>
          <w:color w:val="3B3838" w:themeColor="background2" w:themeShade="40"/>
        </w:rPr>
        <w:t xml:space="preserve"> </w:t>
      </w:r>
      <w:r w:rsidRPr="00B8098F">
        <w:rPr>
          <w:color w:val="3B3838" w:themeColor="background2" w:themeShade="40"/>
        </w:rPr>
        <w:t>accomplishments in relation to award criteria</w:t>
      </w:r>
      <w:r w:rsidR="00452C04" w:rsidRPr="00B8098F">
        <w:rPr>
          <w:color w:val="3B3838" w:themeColor="background2" w:themeShade="40"/>
        </w:rPr>
        <w:t>*</w:t>
      </w:r>
    </w:p>
    <w:p w14:paraId="1A89EBDA" w14:textId="156B9D72" w:rsidR="009A7ABE" w:rsidRPr="00B8098F" w:rsidRDefault="00452C04" w:rsidP="00B41A89">
      <w:pPr>
        <w:pStyle w:val="BodyText"/>
        <w:numPr>
          <w:ilvl w:val="0"/>
          <w:numId w:val="6"/>
        </w:numPr>
        <w:ind w:left="450" w:hanging="270"/>
        <w:jc w:val="both"/>
        <w:rPr>
          <w:color w:val="3B3838" w:themeColor="background2" w:themeShade="40"/>
        </w:rPr>
      </w:pPr>
      <w:r w:rsidRPr="00B8098F">
        <w:rPr>
          <w:color w:val="3B3838" w:themeColor="background2" w:themeShade="40"/>
        </w:rPr>
        <w:t>T</w:t>
      </w:r>
      <w:r w:rsidR="00AC1C33" w:rsidRPr="00B8098F">
        <w:rPr>
          <w:color w:val="3B3838" w:themeColor="background2" w:themeShade="40"/>
        </w:rPr>
        <w:t>wo letters of support or recommendation for the nominee</w:t>
      </w:r>
      <w:r w:rsidRPr="00B8098F">
        <w:rPr>
          <w:color w:val="3B3838" w:themeColor="background2" w:themeShade="40"/>
        </w:rPr>
        <w:t>*</w:t>
      </w:r>
    </w:p>
    <w:p w14:paraId="3829BBE0" w14:textId="67371F2E" w:rsidR="009A7ABE" w:rsidRPr="00596105" w:rsidRDefault="001E5BFC" w:rsidP="00596105">
      <w:pPr>
        <w:pStyle w:val="BodyText"/>
        <w:numPr>
          <w:ilvl w:val="0"/>
          <w:numId w:val="7"/>
        </w:numPr>
        <w:ind w:left="450" w:hanging="270"/>
        <w:jc w:val="both"/>
        <w:rPr>
          <w:color w:val="3B3838" w:themeColor="background2" w:themeShade="40"/>
        </w:rPr>
      </w:pPr>
      <w:r w:rsidRPr="00B8098F">
        <w:rPr>
          <w:color w:val="3B3838" w:themeColor="background2" w:themeShade="40"/>
        </w:rPr>
        <w:t>Abbreviated re</w:t>
      </w:r>
      <w:r w:rsidR="00AC1C33" w:rsidRPr="00B8098F">
        <w:rPr>
          <w:color w:val="3B3838" w:themeColor="background2" w:themeShade="40"/>
        </w:rPr>
        <w:t>sume highlighting pertinent information</w:t>
      </w:r>
      <w:r w:rsidRPr="00B8098F">
        <w:rPr>
          <w:color w:val="3B3838" w:themeColor="background2" w:themeShade="40"/>
        </w:rPr>
        <w:t xml:space="preserve"> (10-page limit)</w:t>
      </w:r>
      <w:r w:rsidR="00596105">
        <w:rPr>
          <w:color w:val="3B3838" w:themeColor="background2" w:themeShade="40"/>
        </w:rPr>
        <w:t>. CVs are encouraged to include a summary section.</w:t>
      </w:r>
    </w:p>
    <w:p w14:paraId="4F8A0108" w14:textId="77777777" w:rsidR="00B4053F" w:rsidRPr="00B8098F" w:rsidRDefault="00B4053F" w:rsidP="00B4053F">
      <w:pPr>
        <w:tabs>
          <w:tab w:val="left" w:pos="821"/>
        </w:tabs>
        <w:kinsoku w:val="0"/>
        <w:overflowPunct w:val="0"/>
        <w:spacing w:line="271" w:lineRule="exact"/>
        <w:rPr>
          <w:rFonts w:ascii="Symbol" w:hAnsi="Symbol" w:cs="Symbol"/>
          <w:color w:val="3B3838" w:themeColor="background2" w:themeShade="40"/>
        </w:rPr>
      </w:pPr>
    </w:p>
    <w:p w14:paraId="37E75938" w14:textId="54223BDC" w:rsidR="00B4053F" w:rsidRPr="00B8098F" w:rsidRDefault="00A35D7D" w:rsidP="00B4053F">
      <w:pPr>
        <w:pStyle w:val="BodyText"/>
        <w:jc w:val="both"/>
        <w:rPr>
          <w:color w:val="3B3838" w:themeColor="background2" w:themeShade="40"/>
        </w:rPr>
      </w:pPr>
      <w:r w:rsidRPr="00B8098F">
        <w:rPr>
          <w:i/>
          <w:iCs/>
          <w:color w:val="3B3838" w:themeColor="background2" w:themeShade="40"/>
        </w:rPr>
        <w:t>*</w:t>
      </w:r>
      <w:r w:rsidR="00B4053F" w:rsidRPr="00B8098F">
        <w:rPr>
          <w:i/>
          <w:iCs/>
          <w:color w:val="3B3838" w:themeColor="background2" w:themeShade="40"/>
        </w:rPr>
        <w:t>Note:</w:t>
      </w:r>
      <w:r w:rsidR="00B4053F" w:rsidRPr="00B8098F">
        <w:rPr>
          <w:color w:val="3B3838" w:themeColor="background2" w:themeShade="40"/>
        </w:rPr>
        <w:t xml:space="preserve"> </w:t>
      </w:r>
      <w:r w:rsidR="00B4053F" w:rsidRPr="00B8098F">
        <w:rPr>
          <w:b/>
          <w:bCs/>
          <w:color w:val="3B3838" w:themeColor="background2" w:themeShade="40"/>
        </w:rPr>
        <w:t xml:space="preserve">Letters </w:t>
      </w:r>
      <w:r w:rsidR="00640790" w:rsidRPr="00B8098F">
        <w:rPr>
          <w:b/>
          <w:bCs/>
          <w:color w:val="3B3838" w:themeColor="background2" w:themeShade="40"/>
        </w:rPr>
        <w:t>of support/recommendation</w:t>
      </w:r>
      <w:r w:rsidR="00B4053F" w:rsidRPr="00B8098F">
        <w:rPr>
          <w:b/>
          <w:bCs/>
          <w:color w:val="3B3838" w:themeColor="background2" w:themeShade="40"/>
        </w:rPr>
        <w:t xml:space="preserve"> are heavily weighted</w:t>
      </w:r>
      <w:r w:rsidR="00B4053F" w:rsidRPr="00B8098F">
        <w:rPr>
          <w:color w:val="3B3838" w:themeColor="background2" w:themeShade="40"/>
        </w:rPr>
        <w:t xml:space="preserve"> in the selection process and should communicate the nominee’s contributions to a broad audience, based on the review criteria. The selection committee relies on these letters to understand the significan</w:t>
      </w:r>
      <w:r w:rsidR="003658D1" w:rsidRPr="00B8098F">
        <w:rPr>
          <w:color w:val="3B3838" w:themeColor="background2" w:themeShade="40"/>
        </w:rPr>
        <w:t xml:space="preserve">ce of the </w:t>
      </w:r>
      <w:r w:rsidR="00190BBD" w:rsidRPr="00B8098F">
        <w:rPr>
          <w:color w:val="3B3838" w:themeColor="background2" w:themeShade="40"/>
        </w:rPr>
        <w:t>nominee’s contributions</w:t>
      </w:r>
      <w:r w:rsidR="00B4053F" w:rsidRPr="00B8098F">
        <w:rPr>
          <w:color w:val="3B3838" w:themeColor="background2" w:themeShade="40"/>
        </w:rPr>
        <w:t xml:space="preserve"> within </w:t>
      </w:r>
      <w:r w:rsidR="0069242D" w:rsidRPr="00B8098F">
        <w:rPr>
          <w:color w:val="3B3838" w:themeColor="background2" w:themeShade="40"/>
        </w:rPr>
        <w:t>their</w:t>
      </w:r>
      <w:r w:rsidR="00B4053F" w:rsidRPr="00B8098F">
        <w:rPr>
          <w:color w:val="3B3838" w:themeColor="background2" w:themeShade="40"/>
        </w:rPr>
        <w:t xml:space="preserve"> field</w:t>
      </w:r>
      <w:r w:rsidR="00F33B94" w:rsidRPr="00B8098F">
        <w:rPr>
          <w:color w:val="3B3838" w:themeColor="background2" w:themeShade="40"/>
        </w:rPr>
        <w:t xml:space="preserve"> and beyond the day-to-day responsibilities</w:t>
      </w:r>
      <w:r w:rsidR="0069242D" w:rsidRPr="00B8098F">
        <w:rPr>
          <w:color w:val="3B3838" w:themeColor="background2" w:themeShade="40"/>
        </w:rPr>
        <w:t>.</w:t>
      </w:r>
    </w:p>
    <w:p w14:paraId="0E3CB70B" w14:textId="6DA47315" w:rsidR="00AC1C33" w:rsidRDefault="00AC1C33" w:rsidP="00EB6785">
      <w:pPr>
        <w:pStyle w:val="BodyText"/>
        <w:kinsoku w:val="0"/>
        <w:overflowPunct w:val="0"/>
        <w:rPr>
          <w:b/>
          <w:bCs/>
          <w:sz w:val="23"/>
          <w:szCs w:val="23"/>
        </w:rPr>
      </w:pPr>
    </w:p>
    <w:p w14:paraId="4B0FF6EF" w14:textId="5A1C22F8" w:rsidR="001C3625" w:rsidRDefault="001C3625" w:rsidP="000B5131">
      <w:pPr>
        <w:tabs>
          <w:tab w:val="left" w:pos="821"/>
        </w:tabs>
        <w:kinsoku w:val="0"/>
        <w:overflowPunct w:val="0"/>
        <w:spacing w:line="271" w:lineRule="exact"/>
        <w:rPr>
          <w:b/>
          <w:bCs/>
          <w:sz w:val="23"/>
          <w:szCs w:val="23"/>
        </w:rPr>
      </w:pPr>
      <w:r w:rsidRPr="00571EE9">
        <w:rPr>
          <w:i/>
          <w:iCs/>
          <w:color w:val="3B3838" w:themeColor="background2" w:themeShade="40"/>
        </w:rPr>
        <w:t>Note:</w:t>
      </w:r>
      <w:r>
        <w:rPr>
          <w:color w:val="3B3838" w:themeColor="background2" w:themeShade="40"/>
        </w:rPr>
        <w:t xml:space="preserve"> </w:t>
      </w:r>
      <w:r w:rsidRPr="00A51997">
        <w:rPr>
          <w:color w:val="3B3838" w:themeColor="background2" w:themeShade="40"/>
        </w:rPr>
        <w:t>This award will not be conferred on any individual whose conduct has been determined to be unethical by MSU offices/review processes</w:t>
      </w:r>
      <w:r>
        <w:rPr>
          <w:color w:val="3B3838" w:themeColor="background2" w:themeShade="40"/>
        </w:rPr>
        <w:t>, such as</w:t>
      </w:r>
      <w:r w:rsidRPr="00A51997">
        <w:rPr>
          <w:color w:val="3B3838" w:themeColor="background2" w:themeShade="40"/>
        </w:rPr>
        <w:t>: Research Misconduct, Regulatory Non-Compliance, Human Resources Management, Internal Audit, or Civil Rights and Compliance</w:t>
      </w:r>
    </w:p>
    <w:sectPr w:rsidR="001C3625" w:rsidSect="001C3625">
      <w:pgSz w:w="12240" w:h="15840"/>
      <w:pgMar w:top="783" w:right="720" w:bottom="1080" w:left="90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 Condensed">
    <w:panose1 w:val="02060603050405020104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50"/>
      <w:numFmt w:val="decimal"/>
      <w:lvlText w:val=".%1"/>
      <w:lvlJc w:val="left"/>
      <w:pPr>
        <w:ind w:left="100" w:hanging="360"/>
      </w:pPr>
      <w:rPr>
        <w:rFonts w:ascii="Rockwell" w:hAnsi="Rockwell" w:cs="Rockwell"/>
        <w:b w:val="0"/>
        <w:bCs w:val="0"/>
        <w:spacing w:val="-22"/>
        <w:w w:val="100"/>
        <w:sz w:val="22"/>
        <w:szCs w:val="22"/>
      </w:rPr>
    </w:lvl>
    <w:lvl w:ilvl="1">
      <w:numFmt w:val="bullet"/>
      <w:lvlText w:val=""/>
      <w:lvlJc w:val="left"/>
      <w:pPr>
        <w:ind w:left="821" w:hanging="360"/>
      </w:pPr>
      <w:rPr>
        <w:b w:val="0"/>
        <w:bCs w:val="0"/>
        <w:w w:val="100"/>
      </w:rPr>
    </w:lvl>
    <w:lvl w:ilvl="2">
      <w:numFmt w:val="bullet"/>
      <w:lvlText w:val="•"/>
      <w:lvlJc w:val="left"/>
      <w:pPr>
        <w:ind w:left="1793" w:hanging="360"/>
      </w:pPr>
    </w:lvl>
    <w:lvl w:ilvl="3">
      <w:numFmt w:val="bullet"/>
      <w:lvlText w:val="•"/>
      <w:lvlJc w:val="left"/>
      <w:pPr>
        <w:ind w:left="2766" w:hanging="360"/>
      </w:pPr>
    </w:lvl>
    <w:lvl w:ilvl="4">
      <w:numFmt w:val="bullet"/>
      <w:lvlText w:val="•"/>
      <w:lvlJc w:val="left"/>
      <w:pPr>
        <w:ind w:left="3740" w:hanging="360"/>
      </w:pPr>
    </w:lvl>
    <w:lvl w:ilvl="5">
      <w:numFmt w:val="bullet"/>
      <w:lvlText w:val="•"/>
      <w:lvlJc w:val="left"/>
      <w:pPr>
        <w:ind w:left="4713" w:hanging="360"/>
      </w:pPr>
    </w:lvl>
    <w:lvl w:ilvl="6">
      <w:numFmt w:val="bullet"/>
      <w:lvlText w:val="•"/>
      <w:lvlJc w:val="left"/>
      <w:pPr>
        <w:ind w:left="5686" w:hanging="360"/>
      </w:pPr>
    </w:lvl>
    <w:lvl w:ilvl="7">
      <w:numFmt w:val="bullet"/>
      <w:lvlText w:val="•"/>
      <w:lvlJc w:val="left"/>
      <w:pPr>
        <w:ind w:left="6660" w:hanging="360"/>
      </w:pPr>
    </w:lvl>
    <w:lvl w:ilvl="8">
      <w:numFmt w:val="bullet"/>
      <w:lvlText w:val="•"/>
      <w:lvlJc w:val="left"/>
      <w:pPr>
        <w:ind w:left="7633" w:hanging="360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821" w:hanging="360"/>
      </w:pPr>
      <w:rPr>
        <w:rFonts w:ascii="Rockwell" w:hAnsi="Rockwell" w:cs="Rockwell"/>
        <w:b w:val="0"/>
        <w:bCs w:val="0"/>
        <w:spacing w:val="-7"/>
        <w:w w:val="100"/>
        <w:sz w:val="22"/>
        <w:szCs w:val="22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decimal"/>
      <w:lvlText w:val="%1."/>
      <w:lvlJc w:val="left"/>
      <w:pPr>
        <w:ind w:left="821" w:hanging="290"/>
      </w:pPr>
      <w:rPr>
        <w:rFonts w:ascii="Rockwell" w:hAnsi="Rockwell" w:cs="Rockwell"/>
        <w:b w:val="0"/>
        <w:bCs w:val="0"/>
        <w:spacing w:val="-5"/>
        <w:w w:val="100"/>
        <w:sz w:val="22"/>
        <w:szCs w:val="22"/>
      </w:rPr>
    </w:lvl>
    <w:lvl w:ilvl="1">
      <w:numFmt w:val="bullet"/>
      <w:lvlText w:val="•"/>
      <w:lvlJc w:val="left"/>
      <w:pPr>
        <w:ind w:left="1696" w:hanging="290"/>
      </w:pPr>
    </w:lvl>
    <w:lvl w:ilvl="2">
      <w:numFmt w:val="bullet"/>
      <w:lvlText w:val="•"/>
      <w:lvlJc w:val="left"/>
      <w:pPr>
        <w:ind w:left="2572" w:hanging="290"/>
      </w:pPr>
    </w:lvl>
    <w:lvl w:ilvl="3">
      <w:numFmt w:val="bullet"/>
      <w:lvlText w:val="•"/>
      <w:lvlJc w:val="left"/>
      <w:pPr>
        <w:ind w:left="3448" w:hanging="290"/>
      </w:pPr>
    </w:lvl>
    <w:lvl w:ilvl="4">
      <w:numFmt w:val="bullet"/>
      <w:lvlText w:val="•"/>
      <w:lvlJc w:val="left"/>
      <w:pPr>
        <w:ind w:left="4324" w:hanging="290"/>
      </w:pPr>
    </w:lvl>
    <w:lvl w:ilvl="5">
      <w:numFmt w:val="bullet"/>
      <w:lvlText w:val="•"/>
      <w:lvlJc w:val="left"/>
      <w:pPr>
        <w:ind w:left="5200" w:hanging="290"/>
      </w:pPr>
    </w:lvl>
    <w:lvl w:ilvl="6">
      <w:numFmt w:val="bullet"/>
      <w:lvlText w:val="•"/>
      <w:lvlJc w:val="left"/>
      <w:pPr>
        <w:ind w:left="6076" w:hanging="290"/>
      </w:pPr>
    </w:lvl>
    <w:lvl w:ilvl="7">
      <w:numFmt w:val="bullet"/>
      <w:lvlText w:val="•"/>
      <w:lvlJc w:val="left"/>
      <w:pPr>
        <w:ind w:left="6952" w:hanging="290"/>
      </w:pPr>
    </w:lvl>
    <w:lvl w:ilvl="8">
      <w:numFmt w:val="bullet"/>
      <w:lvlText w:val="•"/>
      <w:lvlJc w:val="left"/>
      <w:pPr>
        <w:ind w:left="7828" w:hanging="290"/>
      </w:pPr>
    </w:lvl>
  </w:abstractNum>
  <w:abstractNum w:abstractNumId="3" w15:restartNumberingAfterBreak="0">
    <w:nsid w:val="3C182647"/>
    <w:multiLevelType w:val="hybridMultilevel"/>
    <w:tmpl w:val="454E1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B85457"/>
    <w:multiLevelType w:val="hybridMultilevel"/>
    <w:tmpl w:val="B4F6E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3C7126"/>
    <w:multiLevelType w:val="multilevel"/>
    <w:tmpl w:val="FFFFFFFF"/>
    <w:lvl w:ilvl="0">
      <w:numFmt w:val="bullet"/>
      <w:lvlText w:val=""/>
      <w:lvlJc w:val="left"/>
      <w:pPr>
        <w:ind w:left="821" w:hanging="360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6" w15:restartNumberingAfterBreak="0">
    <w:nsid w:val="6EA6303C"/>
    <w:multiLevelType w:val="multilevel"/>
    <w:tmpl w:val="FFFFFFFF"/>
    <w:lvl w:ilvl="0">
      <w:numFmt w:val="bullet"/>
      <w:lvlText w:val=""/>
      <w:lvlJc w:val="left"/>
      <w:pPr>
        <w:ind w:left="821" w:hanging="360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num w:numId="1" w16cid:durableId="1042830172">
    <w:abstractNumId w:val="2"/>
  </w:num>
  <w:num w:numId="2" w16cid:durableId="946735063">
    <w:abstractNumId w:val="1"/>
  </w:num>
  <w:num w:numId="3" w16cid:durableId="1750618243">
    <w:abstractNumId w:val="0"/>
  </w:num>
  <w:num w:numId="4" w16cid:durableId="678963988">
    <w:abstractNumId w:val="4"/>
  </w:num>
  <w:num w:numId="5" w16cid:durableId="923879913">
    <w:abstractNumId w:val="3"/>
  </w:num>
  <w:num w:numId="6" w16cid:durableId="1664510908">
    <w:abstractNumId w:val="5"/>
  </w:num>
  <w:num w:numId="7" w16cid:durableId="19708929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4F"/>
    <w:rsid w:val="000B5131"/>
    <w:rsid w:val="000E303F"/>
    <w:rsid w:val="00153377"/>
    <w:rsid w:val="00164591"/>
    <w:rsid w:val="0018160C"/>
    <w:rsid w:val="00190BBD"/>
    <w:rsid w:val="001C3625"/>
    <w:rsid w:val="001E5BFC"/>
    <w:rsid w:val="002259A9"/>
    <w:rsid w:val="00227177"/>
    <w:rsid w:val="002C346C"/>
    <w:rsid w:val="003658D1"/>
    <w:rsid w:val="00452C04"/>
    <w:rsid w:val="0047374F"/>
    <w:rsid w:val="004A60A3"/>
    <w:rsid w:val="005716EC"/>
    <w:rsid w:val="00585E78"/>
    <w:rsid w:val="00596105"/>
    <w:rsid w:val="00640790"/>
    <w:rsid w:val="00640891"/>
    <w:rsid w:val="00675516"/>
    <w:rsid w:val="0069242D"/>
    <w:rsid w:val="007D16B3"/>
    <w:rsid w:val="008527BB"/>
    <w:rsid w:val="008A555E"/>
    <w:rsid w:val="008C733F"/>
    <w:rsid w:val="00927234"/>
    <w:rsid w:val="009549EA"/>
    <w:rsid w:val="009A7ABE"/>
    <w:rsid w:val="00A35D7D"/>
    <w:rsid w:val="00AC1C33"/>
    <w:rsid w:val="00AE0C4C"/>
    <w:rsid w:val="00AF278F"/>
    <w:rsid w:val="00B4053F"/>
    <w:rsid w:val="00B41A89"/>
    <w:rsid w:val="00B8098F"/>
    <w:rsid w:val="00BE1112"/>
    <w:rsid w:val="00CD5D6E"/>
    <w:rsid w:val="00CE4D91"/>
    <w:rsid w:val="00CE6314"/>
    <w:rsid w:val="00DA1B73"/>
    <w:rsid w:val="00DA5C61"/>
    <w:rsid w:val="00DB42FA"/>
    <w:rsid w:val="00DC1F9B"/>
    <w:rsid w:val="00E47E7A"/>
    <w:rsid w:val="00E5532C"/>
    <w:rsid w:val="00EB6785"/>
    <w:rsid w:val="00EC27FC"/>
    <w:rsid w:val="00F3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188E87C"/>
  <w14:defaultImageDpi w14:val="0"/>
  <w15:docId w15:val="{84342E80-2417-F248-A45E-2B5D3AB37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Rockwell" w:hAnsi="Rockwell" w:cs="Rockwel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line="281" w:lineRule="exact"/>
      <w:ind w:left="100"/>
      <w:jc w:val="both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199" w:line="268" w:lineRule="exact"/>
      <w:ind w:left="100"/>
      <w:outlineLvl w:val="1"/>
    </w:pPr>
    <w:rPr>
      <w:rFonts w:ascii="Rockwell Condensed" w:hAnsi="Rockwell Condensed" w:cs="Rockwell Condensed"/>
      <w:b/>
      <w:bCs/>
      <w:i/>
      <w:i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Pr>
      <w:rFonts w:ascii="Rockwell" w:hAnsi="Rockwell" w:cs="Rockwell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21" w:hanging="3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E47E7A"/>
    <w:rPr>
      <w:rFonts w:ascii="Rockwell" w:hAnsi="Rockwell" w:cs="Rockwell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E63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sstate.co1.qualtrics.com/jfe/form/SV_3w67Fsjhrdxrud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461</Words>
  <Characters>2990</Characters>
  <Application>Microsoft Office Word</Application>
  <DocSecurity>0</DocSecurity>
  <Lines>53</Lines>
  <Paragraphs>24</Paragraphs>
  <ScaleCrop>false</ScaleCrop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Echols, Katie</dc:creator>
  <cp:keywords/>
  <dc:description/>
  <cp:lastModifiedBy>Echols, Katie</cp:lastModifiedBy>
  <cp:revision>3</cp:revision>
  <cp:lastPrinted>2026-01-23T18:07:00Z</cp:lastPrinted>
  <dcterms:created xsi:type="dcterms:W3CDTF">2026-01-23T18:25:00Z</dcterms:created>
  <dcterms:modified xsi:type="dcterms:W3CDTF">2026-01-23T18:26:00Z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 Word</vt:lpwstr>
  </property>
</Properties>
</file>